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1301</w:t>
      </w:r>
      <w:r>
        <w:rPr>
          <w:rFonts w:ascii="Times New Roman" w:eastAsia="Times New Roman" w:hAnsi="Times New Roman" w:cs="Times New Roman"/>
          <w:b/>
          <w:bCs/>
        </w:rPr>
        <w:t>-2804/2024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КУ ХМАО – 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Басыровой</w:t>
      </w:r>
      <w:r>
        <w:rPr>
          <w:rFonts w:ascii="Times New Roman" w:eastAsia="Times New Roman" w:hAnsi="Times New Roman" w:cs="Times New Roman"/>
          <w:b/>
          <w:bCs/>
        </w:rPr>
        <w:t xml:space="preserve"> Эльвиры </w:t>
      </w:r>
      <w:r>
        <w:rPr>
          <w:rFonts w:ascii="Times New Roman" w:eastAsia="Times New Roman" w:hAnsi="Times New Roman" w:cs="Times New Roman"/>
          <w:b/>
          <w:bCs/>
        </w:rPr>
        <w:t>Рафаилевны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Басырова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КУ ХМАО – 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«Агентство социального благополучия населения»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д.18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в отношении застрахованного лица со СНИЛС </w:t>
      </w:r>
      <w:r>
        <w:rPr>
          <w:rStyle w:val="cat-UserDefinedgrp-2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30.04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Басырова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Басыровой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КУ ХМАО – 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Басырову</w:t>
      </w:r>
      <w:r>
        <w:rPr>
          <w:rFonts w:ascii="Times New Roman" w:eastAsia="Times New Roman" w:hAnsi="Times New Roman" w:cs="Times New Roman"/>
          <w:b/>
          <w:bCs/>
        </w:rPr>
        <w:t xml:space="preserve"> Эльвиру </w:t>
      </w:r>
      <w:r>
        <w:rPr>
          <w:rFonts w:ascii="Times New Roman" w:eastAsia="Times New Roman" w:hAnsi="Times New Roman" w:cs="Times New Roman"/>
          <w:b/>
          <w:bCs/>
        </w:rPr>
        <w:t>Рафаилевну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207</w:t>
      </w:r>
      <w:r>
        <w:rPr>
          <w:rFonts w:ascii="Times New Roman" w:eastAsia="Times New Roman" w:hAnsi="Times New Roman" w:cs="Times New Roman"/>
        </w:rPr>
        <w:t>380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5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